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91D" w:rsidRPr="000A791D" w:rsidRDefault="000A791D" w:rsidP="000A791D">
      <w:pPr>
        <w:autoSpaceDE w:val="0"/>
        <w:autoSpaceDN w:val="0"/>
        <w:adjustRightInd w:val="0"/>
        <w:spacing w:line="360" w:lineRule="auto"/>
        <w:rPr>
          <w:b/>
        </w:rPr>
      </w:pPr>
      <w:r w:rsidRPr="000A791D">
        <w:rPr>
          <w:b/>
        </w:rPr>
        <w:t>Praktyki śródroczne</w:t>
      </w:r>
      <w:bookmarkStart w:id="0" w:name="_GoBack"/>
      <w:bookmarkEnd w:id="0"/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  <w:jc w:val="both"/>
      </w:pPr>
      <w:r w:rsidRPr="000A791D">
        <w:t>Student zdobywający uprawnienia pedagogiczne w ramach zajęć z dydaktyki odbywa także praktyki śródroczne w szkołach podstawowych (na studiach I-go stopnia) oraz w szkołach ponadpodstawowych (w trakcie studiów II stopnia). Praktyki śródroczne są realizowane równolegle z konwersatoriami. Przebieg praktyk dokumentują specjalne karty, które Student musi prowadzić i zachować aż do momentu przystąpienia do końcowego egzaminu z dydaktyki. Praktyki śródroczne polegają na hospitowaniu grupowym lub indywidualnym lekcji lub zajęć pozalekcyjnych prowadzonych przez nauczycieli ćwiczeniowych, współpracujących na mocy specjalnej umowy z IH UJ. W ramach tych praktyk mogą być realizowane także lekcje próbne studentów, czyli samodzielnie przygotowane w porozumieniu z nauczycielem ćwiczeniowym jednostki lekcyjne, obserwowane i oceniane przez nauczyciela akademickiego oraz innych studentów.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  <w:rPr>
          <w:b/>
        </w:rPr>
      </w:pPr>
      <w:r w:rsidRPr="000A791D">
        <w:rPr>
          <w:b/>
        </w:rPr>
        <w:t>W czasie obserwacji hospitowanych lekcji student zwraca szczególną uwagę na: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a) czynno</w:t>
      </w:r>
      <w:r w:rsidRPr="000A791D">
        <w:rPr>
          <w:rFonts w:eastAsia="TimesNewRoman"/>
        </w:rPr>
        <w:t>ś</w:t>
      </w:r>
      <w:r w:rsidRPr="000A791D">
        <w:t>ci podejmowane przez nauczyciela w toku lekcji (zaj</w:t>
      </w:r>
      <w:r w:rsidRPr="000A791D">
        <w:rPr>
          <w:rFonts w:eastAsia="TimesNewRoman"/>
        </w:rPr>
        <w:t>ęć</w:t>
      </w:r>
      <w:r w:rsidRPr="000A791D">
        <w:t>) oraz aktywno</w:t>
      </w:r>
      <w:r w:rsidRPr="000A791D">
        <w:rPr>
          <w:rFonts w:eastAsia="TimesNewRoman"/>
        </w:rPr>
        <w:t>ś</w:t>
      </w:r>
      <w:r w:rsidRPr="000A791D">
        <w:t>ci uczniów;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b) metodykę lekcji (zaj</w:t>
      </w:r>
      <w:r w:rsidRPr="000A791D">
        <w:rPr>
          <w:rFonts w:eastAsia="TimesNewRoman"/>
        </w:rPr>
        <w:t>ęć</w:t>
      </w:r>
      <w:r w:rsidRPr="000A791D">
        <w:t>), stosowane przez nauczyciela metody, formy pracy oraz środki dydaktyczne;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c) interakcje nauczyciel-uczeń/grupa oraz interakcje mi</w:t>
      </w:r>
      <w:r w:rsidRPr="000A791D">
        <w:rPr>
          <w:rFonts w:eastAsia="TimesNewRoman"/>
        </w:rPr>
        <w:t>ę</w:t>
      </w:r>
      <w:r w:rsidRPr="000A791D">
        <w:t>dzy dzie</w:t>
      </w:r>
      <w:r w:rsidRPr="000A791D">
        <w:rPr>
          <w:rFonts w:eastAsia="TimesNewRoman"/>
        </w:rPr>
        <w:t>ć</w:t>
      </w:r>
      <w:r w:rsidRPr="000A791D">
        <w:t>mi lub młodzie</w:t>
      </w:r>
      <w:r w:rsidRPr="000A791D">
        <w:rPr>
          <w:rFonts w:eastAsia="TimesNewRoman"/>
        </w:rPr>
        <w:t>żą;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d) procesy komunikowania interpersonalnego i społecznego w klasie, ich prawidłowo</w:t>
      </w:r>
      <w:r w:rsidRPr="000A791D">
        <w:rPr>
          <w:rFonts w:eastAsia="TimesNewRoman"/>
        </w:rPr>
        <w:t>ś</w:t>
      </w:r>
      <w:r w:rsidRPr="000A791D">
        <w:t>ci i zakłócenia;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e) sposoby aktywizowania i dyscyplinowania uczniów oraz ró</w:t>
      </w:r>
      <w:r w:rsidRPr="000A791D">
        <w:rPr>
          <w:rFonts w:eastAsia="TimesNewRoman"/>
        </w:rPr>
        <w:t>ż</w:t>
      </w:r>
      <w:r w:rsidRPr="000A791D">
        <w:t>nicowania zadań poszczególnych uczniów;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f) sposoby oceniania uczniów;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g) sposoby zadawania i kontrolowania pracy domowej;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h) klimat społeczny klasy, role pełnione przez uczniów, ich zachowania i postawy;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i) funkcjonowanie i aktywno</w:t>
      </w:r>
      <w:r w:rsidRPr="000A791D">
        <w:rPr>
          <w:rFonts w:eastAsia="TimesNewRoman"/>
        </w:rPr>
        <w:t xml:space="preserve">ść </w:t>
      </w:r>
      <w:r w:rsidRPr="000A791D">
        <w:t>uczniów ze specjalnymi potrzebami edukacyjnymi (niepełnosprawnych lub szczególnie uzdolnionych);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j) działa</w:t>
      </w:r>
      <w:r w:rsidRPr="000A791D">
        <w:rPr>
          <w:rFonts w:eastAsia="TimesNewRoman"/>
        </w:rPr>
        <w:t>nia</w:t>
      </w:r>
      <w:r w:rsidRPr="000A791D">
        <w:t xml:space="preserve"> nauczyciela na rzecz zapewnienia bezpiecze</w:t>
      </w:r>
      <w:r w:rsidRPr="000A791D">
        <w:rPr>
          <w:rFonts w:eastAsia="TimesNewRoman"/>
        </w:rPr>
        <w:t>ń</w:t>
      </w:r>
      <w:r w:rsidRPr="000A791D">
        <w:t xml:space="preserve">stwa i zachowania dyscypliny w klasie; </w:t>
      </w:r>
    </w:p>
    <w:p w:rsidR="000A791D" w:rsidRPr="000A791D" w:rsidRDefault="000A791D" w:rsidP="000A791D">
      <w:pPr>
        <w:autoSpaceDE w:val="0"/>
        <w:autoSpaceDN w:val="0"/>
        <w:adjustRightInd w:val="0"/>
        <w:spacing w:line="360" w:lineRule="auto"/>
      </w:pPr>
      <w:r w:rsidRPr="000A791D">
        <w:t>k) organizację przestrzeni w klasie, sposoby jej zagospodarowania (umeblowanie, wyposa</w:t>
      </w:r>
      <w:r w:rsidRPr="000A791D">
        <w:rPr>
          <w:rFonts w:eastAsia="TimesNewRoman"/>
        </w:rPr>
        <w:t>ż</w:t>
      </w:r>
      <w:r w:rsidRPr="000A791D">
        <w:t>enie, dekoracje).</w:t>
      </w:r>
    </w:p>
    <w:p w:rsidR="000A791D" w:rsidRPr="000A791D" w:rsidRDefault="000A791D" w:rsidP="000A791D">
      <w:pPr>
        <w:spacing w:line="360" w:lineRule="auto"/>
        <w:rPr>
          <w:b/>
        </w:rPr>
      </w:pPr>
      <w:r w:rsidRPr="000A791D">
        <w:rPr>
          <w:b/>
        </w:rPr>
        <w:t>Praktyki śródroczne zalicza na podstawie przedłożonych przez studenta kart Kierownik Praktyk lub pracownik dydaktyczny IH UJ, któremu przydzielono prowadzenie grupowej praktyki danego typu.</w:t>
      </w:r>
    </w:p>
    <w:p w:rsidR="0047270B" w:rsidRPr="000A791D" w:rsidRDefault="0047270B" w:rsidP="000A791D">
      <w:pPr>
        <w:spacing w:line="360" w:lineRule="auto"/>
      </w:pPr>
    </w:p>
    <w:sectPr w:rsidR="0047270B" w:rsidRPr="000A791D">
      <w:pgSz w:w="11906" w:h="16838"/>
      <w:pgMar w:top="1417" w:right="1286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1D"/>
    <w:rsid w:val="000A791D"/>
    <w:rsid w:val="004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EAA3D-8A9C-440C-BB19-B265860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2020-01-19T17:37:00Z</dcterms:created>
  <dcterms:modified xsi:type="dcterms:W3CDTF">2020-01-19T17:39:00Z</dcterms:modified>
</cp:coreProperties>
</file>